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1784513</wp:posOffset>
            </wp:positionH>
            <wp:positionV relativeFrom="page">
              <wp:posOffset>313267</wp:posOffset>
            </wp:positionV>
            <wp:extent cx="4086225" cy="473183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31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Teniendo en cuenta nuestro objetivo “SMART” aplicaremos la consigna SCAMPER para re diseñarlo.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Podemos sustituir la palabra “bullying” y solo enfocarnos a la discriminación y asi focalizar nuestro accionar sobre cuestiones más propias del centro educativo.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En el transcurso de ATC nuestra idea se combina con otras compañeras que estaban pensando esta propuesta dirigida a liceales.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Nuestra propuesta es fácilmente adaptable.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En lugar de creas solo frases, también podemos generar pictogramas para personas en situación de discapacidad y que todos y todas entiendan los mensajes que queremos transmitir.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Nos parece que nuestra propuesta es tan amplia que no necesariamente se deba modificar en este momento.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Este modelo de trabajo (realización de talleres, participación, dejar mensajes positivos) lo podemos aplicar a cualquier temática y con cualquier otro grupo.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Por ej. dar solución a estudiantes preocupados por la basura en el liceo, creando mensajes de sensibilización.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 sentimos que debamos eliminar algo de nuestra propuesta, es muy concreta en su formato de trabajo y muy amplia en las temáticas que podemos abordar.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Creemos que la mejor manera de trabajar es con el orden que ya establecimos.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Primero talleres, después identificar mensajes negativos, y luego preparar mensajes positivos.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Cambiando el orden generamos confusión en el proceso de participación.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Entendemos viable contar con los insumos de la consigna “scamper”, dado que durante el desarrollo de nuestra propuesta nos permite visualizar que otras opciones podemos manejar a la hora de concretar nuestra idea y ser efectivamente agentes de cambio creativos.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Meli, Lu, Pamela, Manu.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